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6C492D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454F22">
        <w:rPr>
          <w:b/>
          <w:color w:val="404040" w:themeColor="text1" w:themeTint="BF"/>
          <w:u w:val="single"/>
        </w:rPr>
        <w:t>4</w:t>
      </w:r>
      <w:r w:rsidR="006C492D">
        <w:rPr>
          <w:b/>
          <w:color w:val="404040" w:themeColor="text1" w:themeTint="BF"/>
          <w:u w:val="single"/>
        </w:rPr>
        <w:t>3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</w:t>
      </w:r>
      <w:r w:rsidR="009C132C">
        <w:rPr>
          <w:b/>
          <w:color w:val="404040" w:themeColor="text1" w:themeTint="BF"/>
        </w:rPr>
        <w:tab/>
        <w:t xml:space="preserve">        </w:t>
      </w:r>
      <w:r w:rsidR="005452C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DC0737">
        <w:rPr>
          <w:b/>
          <w:color w:val="404040" w:themeColor="text1" w:themeTint="BF"/>
        </w:rPr>
        <w:t>04</w:t>
      </w:r>
      <w:r>
        <w:rPr>
          <w:b/>
          <w:color w:val="404040" w:themeColor="text1" w:themeTint="BF"/>
        </w:rPr>
        <w:t>/</w:t>
      </w:r>
      <w:r w:rsidR="009C132C">
        <w:rPr>
          <w:b/>
          <w:color w:val="404040" w:themeColor="text1" w:themeTint="BF"/>
        </w:rPr>
        <w:t>1</w:t>
      </w:r>
      <w:r w:rsidR="00DC0737">
        <w:rPr>
          <w:b/>
          <w:color w:val="404040" w:themeColor="text1" w:themeTint="BF"/>
        </w:rPr>
        <w:t>1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5463AF" w:rsidRDefault="00B62B3D" w:rsidP="00DA2DEA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5463AF" w:rsidRPr="00DD2ADB" w:rsidRDefault="00B62B3D" w:rsidP="00DA2DEA">
      <w:pPr>
        <w:pBdr>
          <w:top w:val="thinThickSmallGap" w:sz="24" w:space="1" w:color="auto"/>
        </w:pBd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5452C4">
        <w:rPr>
          <w:b/>
          <w:color w:val="404040" w:themeColor="text1" w:themeTint="BF"/>
          <w:sz w:val="26"/>
          <w:u w:val="single"/>
        </w:rPr>
        <w:t xml:space="preserve">Supply of </w:t>
      </w:r>
      <w:r w:rsidR="0083704B">
        <w:rPr>
          <w:b/>
          <w:color w:val="404040" w:themeColor="text1" w:themeTint="BF"/>
          <w:sz w:val="26"/>
          <w:u w:val="single"/>
        </w:rPr>
        <w:t xml:space="preserve">Office Furniture </w:t>
      </w:r>
      <w:r w:rsidR="00211F24">
        <w:rPr>
          <w:b/>
          <w:color w:val="404040" w:themeColor="text1" w:themeTint="BF"/>
          <w:sz w:val="26"/>
          <w:u w:val="single"/>
        </w:rPr>
        <w:t xml:space="preserve">to </w:t>
      </w:r>
      <w:r w:rsidR="006C492D">
        <w:rPr>
          <w:b/>
          <w:color w:val="404040" w:themeColor="text1" w:themeTint="BF"/>
          <w:sz w:val="26"/>
          <w:u w:val="single"/>
        </w:rPr>
        <w:t xml:space="preserve">Chairman Office </w:t>
      </w:r>
      <w:r w:rsidR="00211F24">
        <w:rPr>
          <w:b/>
          <w:color w:val="404040" w:themeColor="text1" w:themeTint="BF"/>
          <w:sz w:val="26"/>
          <w:u w:val="single"/>
        </w:rPr>
        <w:t>Department of Political Science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5118"/>
        <w:gridCol w:w="990"/>
        <w:gridCol w:w="1440"/>
        <w:gridCol w:w="1890"/>
      </w:tblGrid>
      <w:tr w:rsidR="00202FCC" w:rsidRPr="00DD2ADB" w:rsidTr="00DA2DEA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511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99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44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202FCC" w:rsidRPr="00DD2ADB" w:rsidTr="00DA2DEA">
        <w:trPr>
          <w:trHeight w:val="530"/>
        </w:trPr>
        <w:tc>
          <w:tcPr>
            <w:tcW w:w="462" w:type="dxa"/>
            <w:vAlign w:val="center"/>
          </w:tcPr>
          <w:p w:rsidR="00202FCC" w:rsidRPr="00A03EE1" w:rsidRDefault="00725039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03E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5118" w:type="dxa"/>
            <w:vAlign w:val="center"/>
          </w:tcPr>
          <w:p w:rsidR="00211F24" w:rsidRPr="001212F1" w:rsidRDefault="006C492D" w:rsidP="003E2EB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212F1">
              <w:rPr>
                <w:rFonts w:asciiTheme="minorBidi" w:hAnsiTheme="minorBidi" w:cstheme="minorBidi"/>
                <w:b/>
                <w:sz w:val="22"/>
                <w:szCs w:val="22"/>
              </w:rPr>
              <w:t>Executive Table:</w:t>
            </w:r>
          </w:p>
          <w:p w:rsidR="0083704B" w:rsidRPr="001212F1" w:rsidRDefault="006C492D" w:rsidP="00F7022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>Size: 6' x 3' x 2.5' (</w:t>
            </w:r>
            <w:proofErr w:type="spellStart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>feets</w:t>
            </w:r>
            <w:proofErr w:type="spellEnd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), 35 mm Thick Lamination Vim Board top, structure  made of 18mm thick Lamination board covered with </w:t>
            </w:r>
            <w:proofErr w:type="spellStart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veneer. Side &amp; back closed. N.C-Finished. Two side drawer box having three drawers with channel, upper drawer lockable.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02FCC" w:rsidRPr="001212F1" w:rsidRDefault="00F7022A" w:rsidP="006C49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2F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C492D" w:rsidRPr="001212F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11F24" w:rsidRPr="001212F1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:rsidR="00202FCC" w:rsidRPr="001212F1" w:rsidRDefault="00202FCC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02FCC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Pr="00533687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F7022A" w:rsidRPr="00DD2ADB" w:rsidTr="00DA2DEA">
        <w:trPr>
          <w:trHeight w:val="530"/>
        </w:trPr>
        <w:tc>
          <w:tcPr>
            <w:tcW w:w="462" w:type="dxa"/>
            <w:vAlign w:val="center"/>
          </w:tcPr>
          <w:p w:rsidR="00F7022A" w:rsidRPr="00A03EE1" w:rsidRDefault="00F7022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5118" w:type="dxa"/>
            <w:vAlign w:val="center"/>
          </w:tcPr>
          <w:p w:rsidR="00F02CF6" w:rsidRPr="001212F1" w:rsidRDefault="00F02CF6" w:rsidP="00F02CF6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12F1">
              <w:rPr>
                <w:rFonts w:asciiTheme="minorBidi" w:hAnsiTheme="minorBidi" w:cstheme="minorBidi"/>
                <w:b/>
                <w:sz w:val="22"/>
                <w:szCs w:val="22"/>
              </w:rPr>
              <w:t>Executive Revolving Chair</w:t>
            </w:r>
          </w:p>
          <w:p w:rsidR="00F7022A" w:rsidRPr="001212F1" w:rsidRDefault="00F02CF6" w:rsidP="00F02CF6">
            <w:pPr>
              <w:jc w:val="both"/>
              <w:rPr>
                <w:rFonts w:asciiTheme="minorBidi" w:hAnsiTheme="minorBidi" w:cstheme="minorBidi"/>
                <w:bCs/>
                <w:sz w:val="26"/>
              </w:rPr>
            </w:pPr>
            <w:r w:rsidRPr="001212F1">
              <w:rPr>
                <w:rFonts w:asciiTheme="minorBidi" w:hAnsiTheme="minorBidi" w:cstheme="minorBidi"/>
                <w:b/>
                <w:sz w:val="22"/>
                <w:szCs w:val="22"/>
              </w:rPr>
              <w:t>(Imported except china)</w:t>
            </w:r>
            <w:r w:rsidR="00F7022A" w:rsidRPr="001212F1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  <w:r w:rsidR="00F7022A"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Structure made of 1st quality revolving pedestal with five No's. </w:t>
            </w:r>
            <w:proofErr w:type="gramStart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>of</w:t>
            </w:r>
            <w:proofErr w:type="gramEnd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wheels. Steel base, Fixed underneath up and down steel rod made with straight thread.  Cushioned with 1st quality foam and covered with  best quality black color </w:t>
            </w:r>
            <w:proofErr w:type="spellStart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>reckzine</w:t>
            </w:r>
            <w:proofErr w:type="spellEnd"/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or cloth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1212F1" w:rsidRDefault="00F7022A" w:rsidP="00121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2F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212F1" w:rsidRPr="001212F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212F1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:rsidR="00F7022A" w:rsidRPr="001212F1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Default="00F7022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F7022A" w:rsidRPr="00DD2ADB" w:rsidTr="00DA2DEA">
        <w:trPr>
          <w:trHeight w:val="530"/>
        </w:trPr>
        <w:tc>
          <w:tcPr>
            <w:tcW w:w="462" w:type="dxa"/>
            <w:vAlign w:val="center"/>
          </w:tcPr>
          <w:p w:rsidR="00F7022A" w:rsidRPr="00A03EE1" w:rsidRDefault="00F7022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5118" w:type="dxa"/>
            <w:vAlign w:val="center"/>
          </w:tcPr>
          <w:p w:rsidR="00F7022A" w:rsidRPr="001212F1" w:rsidRDefault="001212F1" w:rsidP="00F7022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212F1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Sofa Set (5-Seater): </w:t>
            </w:r>
            <w:r w:rsidRPr="001212F1">
              <w:rPr>
                <w:rFonts w:asciiTheme="minorBidi" w:hAnsiTheme="minorBidi" w:cstheme="minorBidi"/>
                <w:bCs/>
                <w:sz w:val="22"/>
                <w:szCs w:val="22"/>
              </w:rPr>
              <w:t>with 02-Nos 2x2 tables of glass top. Sample of Sofa Set can be seen in the office of Chairman Electrical Engineering.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1212F1" w:rsidRDefault="001212F1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2F1">
              <w:rPr>
                <w:rFonts w:ascii="Arial" w:hAnsi="Arial" w:cs="Arial"/>
                <w:b/>
                <w:sz w:val="22"/>
                <w:szCs w:val="22"/>
              </w:rPr>
              <w:t>01 No</w:t>
            </w:r>
          </w:p>
        </w:tc>
        <w:tc>
          <w:tcPr>
            <w:tcW w:w="1440" w:type="dxa"/>
            <w:vAlign w:val="center"/>
          </w:tcPr>
          <w:p w:rsidR="00F7022A" w:rsidRPr="001212F1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Default="00F7022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1212F1" w:rsidRDefault="001212F1" w:rsidP="00DA2DEA">
      <w:pPr>
        <w:rPr>
          <w:b/>
          <w:color w:val="404040" w:themeColor="text1" w:themeTint="BF"/>
          <w:u w:val="single"/>
        </w:rPr>
      </w:pPr>
    </w:p>
    <w:p w:rsidR="00DA2DEA" w:rsidRDefault="00B62B3D" w:rsidP="00DA2DEA">
      <w:pPr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  <w:bookmarkStart w:id="0" w:name="_GoBack"/>
      <w:bookmarkEnd w:id="0"/>
    </w:p>
    <w:p w:rsidR="003F52E2" w:rsidRPr="00DA2DEA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 w:rsidRPr="00DA2DEA">
        <w:rPr>
          <w:color w:val="404040" w:themeColor="text1" w:themeTint="BF"/>
          <w:u w:val="single"/>
        </w:rPr>
        <w:t xml:space="preserve">Sealed Quotation </w:t>
      </w:r>
      <w:r w:rsidR="006A6333" w:rsidRPr="00DA2DEA">
        <w:rPr>
          <w:color w:val="404040" w:themeColor="text1" w:themeTint="BF"/>
          <w:u w:val="single"/>
        </w:rPr>
        <w:t xml:space="preserve">on company/firm registered letter pad </w:t>
      </w:r>
      <w:r w:rsidRPr="00DA2DEA">
        <w:rPr>
          <w:color w:val="404040" w:themeColor="text1" w:themeTint="BF"/>
          <w:u w:val="single"/>
        </w:rPr>
        <w:t xml:space="preserve">must reach to the office of undersigned on or before </w:t>
      </w:r>
      <w:r w:rsidR="009C132C" w:rsidRPr="00DA2DEA">
        <w:rPr>
          <w:color w:val="404040" w:themeColor="text1" w:themeTint="BF"/>
          <w:u w:val="single"/>
        </w:rPr>
        <w:t>1</w:t>
      </w:r>
      <w:r w:rsidR="00DC0737" w:rsidRPr="00DA2DEA">
        <w:rPr>
          <w:color w:val="404040" w:themeColor="text1" w:themeTint="BF"/>
          <w:u w:val="single"/>
        </w:rPr>
        <w:t>2</w:t>
      </w:r>
      <w:r w:rsidRPr="00DA2DEA">
        <w:rPr>
          <w:color w:val="404040" w:themeColor="text1" w:themeTint="BF"/>
          <w:u w:val="single"/>
        </w:rPr>
        <w:t>/</w:t>
      </w:r>
      <w:r w:rsidR="009C132C" w:rsidRPr="00DA2DEA">
        <w:rPr>
          <w:color w:val="404040" w:themeColor="text1" w:themeTint="BF"/>
          <w:u w:val="single"/>
        </w:rPr>
        <w:t>1</w:t>
      </w:r>
      <w:r w:rsidR="00DC0737" w:rsidRPr="00DA2DEA">
        <w:rPr>
          <w:color w:val="404040" w:themeColor="text1" w:themeTint="BF"/>
          <w:u w:val="single"/>
        </w:rPr>
        <w:t>1</w:t>
      </w:r>
      <w:r w:rsidRPr="00DA2DEA">
        <w:rPr>
          <w:color w:val="404040" w:themeColor="text1" w:themeTint="BF"/>
          <w:u w:val="single"/>
        </w:rPr>
        <w:t>/201</w:t>
      </w:r>
      <w:r w:rsidR="00696E99" w:rsidRPr="00DA2DEA">
        <w:rPr>
          <w:color w:val="404040" w:themeColor="text1" w:themeTint="BF"/>
          <w:u w:val="single"/>
        </w:rPr>
        <w:t>9</w:t>
      </w:r>
      <w:r w:rsidRPr="00DA2DEA"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5452C4" w:rsidRDefault="005452C4" w:rsidP="00DA2DEA">
      <w:pPr>
        <w:jc w:val="both"/>
        <w:rPr>
          <w:color w:val="404040" w:themeColor="text1" w:themeTint="BF"/>
          <w:u w:val="single"/>
        </w:rPr>
      </w:pPr>
    </w:p>
    <w:p w:rsidR="005452C4" w:rsidRDefault="005452C4" w:rsidP="00DA2DEA">
      <w:pPr>
        <w:jc w:val="both"/>
        <w:rPr>
          <w:color w:val="404040" w:themeColor="text1" w:themeTint="BF"/>
          <w:u w:val="single"/>
        </w:rPr>
      </w:pPr>
    </w:p>
    <w:p w:rsidR="005452C4" w:rsidRPr="00DA2DEA" w:rsidRDefault="005452C4" w:rsidP="00DA2DEA">
      <w:pPr>
        <w:ind w:left="7200"/>
        <w:jc w:val="both"/>
        <w:rPr>
          <w:b/>
          <w:bCs/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</w:t>
      </w:r>
      <w:r w:rsidRPr="00DA2DEA">
        <w:rPr>
          <w:b/>
          <w:bCs/>
          <w:color w:val="404040" w:themeColor="text1" w:themeTint="BF"/>
        </w:rPr>
        <w:t>Secretary</w:t>
      </w:r>
    </w:p>
    <w:p w:rsidR="005452C4" w:rsidRPr="005452C4" w:rsidRDefault="005452C4" w:rsidP="00DA2DEA">
      <w:pPr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="00DA2DEA">
        <w:rPr>
          <w:color w:val="404040" w:themeColor="text1" w:themeTint="BF"/>
        </w:rPr>
        <w:t xml:space="preserve">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3746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12F1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11F24"/>
    <w:rsid w:val="00231729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2EBA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54F22"/>
    <w:rsid w:val="00481B6B"/>
    <w:rsid w:val="004824BC"/>
    <w:rsid w:val="004933C1"/>
    <w:rsid w:val="004A0AFC"/>
    <w:rsid w:val="004A5F2F"/>
    <w:rsid w:val="004A6569"/>
    <w:rsid w:val="004A7F7B"/>
    <w:rsid w:val="004B3222"/>
    <w:rsid w:val="004C2BAF"/>
    <w:rsid w:val="004F5E96"/>
    <w:rsid w:val="004F5ECA"/>
    <w:rsid w:val="00505A5D"/>
    <w:rsid w:val="00505F37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4440"/>
    <w:rsid w:val="00687A71"/>
    <w:rsid w:val="00696CDA"/>
    <w:rsid w:val="00696E99"/>
    <w:rsid w:val="006A6333"/>
    <w:rsid w:val="006A6BB5"/>
    <w:rsid w:val="006C456D"/>
    <w:rsid w:val="006C492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46F7F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04B"/>
    <w:rsid w:val="0083766D"/>
    <w:rsid w:val="00846170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D7AEE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32C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53EE5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D3287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0734"/>
    <w:rsid w:val="00D13C58"/>
    <w:rsid w:val="00D15C58"/>
    <w:rsid w:val="00D20BF3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2DEA"/>
    <w:rsid w:val="00DC0737"/>
    <w:rsid w:val="00DC0CB4"/>
    <w:rsid w:val="00DC48DA"/>
    <w:rsid w:val="00DD2ADB"/>
    <w:rsid w:val="00DD53DB"/>
    <w:rsid w:val="00DD5665"/>
    <w:rsid w:val="00DE70A4"/>
    <w:rsid w:val="00DF0A32"/>
    <w:rsid w:val="00E47950"/>
    <w:rsid w:val="00E53447"/>
    <w:rsid w:val="00E64540"/>
    <w:rsid w:val="00E67C26"/>
    <w:rsid w:val="00E77609"/>
    <w:rsid w:val="00E81EF8"/>
    <w:rsid w:val="00E8724E"/>
    <w:rsid w:val="00E938DD"/>
    <w:rsid w:val="00EB1DFC"/>
    <w:rsid w:val="00EC69F8"/>
    <w:rsid w:val="00EE3648"/>
    <w:rsid w:val="00EE77EE"/>
    <w:rsid w:val="00EF5D07"/>
    <w:rsid w:val="00F02CF6"/>
    <w:rsid w:val="00F0438C"/>
    <w:rsid w:val="00F078D3"/>
    <w:rsid w:val="00F10A2C"/>
    <w:rsid w:val="00F3617F"/>
    <w:rsid w:val="00F478BA"/>
    <w:rsid w:val="00F51B46"/>
    <w:rsid w:val="00F602A0"/>
    <w:rsid w:val="00F611CE"/>
    <w:rsid w:val="00F63948"/>
    <w:rsid w:val="00F6399B"/>
    <w:rsid w:val="00F7022A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2019-11-04T06:12:00Z</cp:lastPrinted>
  <dcterms:created xsi:type="dcterms:W3CDTF">2019-11-04T06:13:00Z</dcterms:created>
  <dcterms:modified xsi:type="dcterms:W3CDTF">2019-11-04T06:30:00Z</dcterms:modified>
</cp:coreProperties>
</file>